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98BC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01CA28C9" w14:textId="77777777" w:rsidR="00B723BA" w:rsidRDefault="00B723BA" w:rsidP="00B723BA">
      <w:pPr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Coca-Cola HBC je posvećena neprekidnom unapređivanju svojih ekoloških performansi u oblasti ambalaže i </w:t>
      </w:r>
      <w:r>
        <w:rPr>
          <w:rFonts w:ascii="Effra Corp" w:hAnsi="Effra Corp"/>
          <w:lang w:val="sr-Latn-RS"/>
        </w:rPr>
        <w:t xml:space="preserve">upravljanja </w:t>
      </w:r>
      <w:r w:rsidRPr="00F91903">
        <w:rPr>
          <w:rFonts w:ascii="Effra Corp" w:hAnsi="Effra Corp"/>
          <w:lang w:val="sr-Latn-RS"/>
        </w:rPr>
        <w:t>ambalažn</w:t>
      </w:r>
      <w:r>
        <w:rPr>
          <w:rFonts w:ascii="Effra Corp" w:hAnsi="Effra Corp"/>
          <w:lang w:val="sr-Latn-RS"/>
        </w:rPr>
        <w:t>im</w:t>
      </w:r>
      <w:r w:rsidRPr="00F91903">
        <w:rPr>
          <w:rFonts w:ascii="Effra Corp" w:hAnsi="Effra Corp"/>
          <w:lang w:val="sr-Latn-RS"/>
        </w:rPr>
        <w:t xml:space="preserve"> otpad</w:t>
      </w:r>
      <w:r>
        <w:rPr>
          <w:rFonts w:ascii="Effra Corp" w:hAnsi="Effra Corp"/>
          <w:lang w:val="sr-Latn-RS"/>
        </w:rPr>
        <w:t>om</w:t>
      </w:r>
      <w:r w:rsidRPr="00F91903">
        <w:rPr>
          <w:rFonts w:ascii="Effra Corp" w:hAnsi="Effra Corp"/>
          <w:lang w:val="sr-Latn-RS"/>
        </w:rPr>
        <w:t xml:space="preserve">. Ambalaža pića ima vrednost i upotrebni vek nakon svoje inicijalne upotrebe i verujemo da bi trebalo da se sakuplja i reciklira u novu ambalažu u sklopu cirkularne ekonomije. Da bismo ostvarili ovu viziju, posedujemo, investiramo i preuzimamo odgovornost za sakupljenu ambalažu kao članovi ovlašćenih organizacija za </w:t>
      </w:r>
      <w:r>
        <w:rPr>
          <w:rFonts w:ascii="Effra Corp" w:hAnsi="Effra Corp"/>
          <w:lang w:val="sr-Latn-RS"/>
        </w:rPr>
        <w:t>ponovno iskorišćenje</w:t>
      </w:r>
      <w:r w:rsidRPr="00F91903">
        <w:rPr>
          <w:rFonts w:ascii="Effra Corp" w:hAnsi="Effra Corp"/>
          <w:lang w:val="sr-Latn-RS"/>
        </w:rPr>
        <w:t xml:space="preserve"> materijala. Implementiramo programe za </w:t>
      </w:r>
      <w:r>
        <w:rPr>
          <w:rFonts w:ascii="Effra Corp" w:hAnsi="Effra Corp"/>
          <w:lang w:val="sr-Latn-RS"/>
        </w:rPr>
        <w:t>ponovno iskorišćenje</w:t>
      </w:r>
      <w:r w:rsidRPr="00F91903">
        <w:rPr>
          <w:rFonts w:ascii="Effra Corp" w:hAnsi="Effra Corp"/>
          <w:lang w:val="sr-Latn-RS"/>
        </w:rPr>
        <w:t xml:space="preserve"> ambalaže na svim našim tržištima kako bismo osigurali da se naša ambalaža sakuplja bezbedno, efektivno i efikasno. Kada god je to moguće, imamo za cilj da primenjujemo ovaj pristup sa više zainteresovanih strana jer bez obzira koliko dobre bile naše ideje, investicije i aktivnosti, ne možemo raditi sami. Ali šta god da uradimo, merimo, procenjujemo i transparentno to delimo na svim našim teritorijama i sa svim našim zainteresovanim stranama. </w:t>
      </w:r>
    </w:p>
    <w:p w14:paraId="438B5B3F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54384A84" w14:textId="77777777" w:rsidR="00B723BA" w:rsidRPr="00F91903" w:rsidRDefault="00B723BA" w:rsidP="00B723BA">
      <w:pPr>
        <w:jc w:val="both"/>
        <w:rPr>
          <w:rFonts w:ascii="Effra Corp" w:hAnsi="Effra Corp"/>
          <w:b/>
          <w:u w:val="single"/>
          <w:lang w:val="sr-Latn-RS"/>
        </w:rPr>
      </w:pPr>
      <w:r w:rsidRPr="00F91903">
        <w:rPr>
          <w:rFonts w:ascii="Effra Corp" w:hAnsi="Effra Corp"/>
          <w:b/>
          <w:u w:val="single"/>
          <w:lang w:val="sr-Latn-RS"/>
        </w:rPr>
        <w:t>Naši ciljevi u upravljanju otpadom su:</w:t>
      </w:r>
    </w:p>
    <w:p w14:paraId="0E8F9780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35B3D268" w14:textId="77777777" w:rsidR="00B723BA" w:rsidRPr="00F91903" w:rsidRDefault="00B723BA" w:rsidP="00B723BA">
      <w:pPr>
        <w:numPr>
          <w:ilvl w:val="0"/>
          <w:numId w:val="3"/>
        </w:numPr>
        <w:ind w:left="360"/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Sakupljanje ekvivalenta od 75% naše ambalaže za reciklažu ili ponovnu upotrebu do 2025. godine i 100% do 2030. godine </w:t>
      </w:r>
    </w:p>
    <w:p w14:paraId="4E9BAF81" w14:textId="77777777" w:rsidR="00B723BA" w:rsidRPr="00F91903" w:rsidRDefault="00B723BA" w:rsidP="00B723BA">
      <w:pPr>
        <w:ind w:left="360"/>
        <w:contextualSpacing/>
        <w:jc w:val="both"/>
        <w:rPr>
          <w:rFonts w:ascii="Effra Corp" w:hAnsi="Effra Corp"/>
          <w:lang w:val="sr-Latn-RS"/>
        </w:rPr>
      </w:pPr>
    </w:p>
    <w:p w14:paraId="45A8CBE4" w14:textId="77777777" w:rsidR="00B723BA" w:rsidRPr="00F91903" w:rsidRDefault="00B723BA" w:rsidP="00B723BA">
      <w:pPr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Obezbeđenje </w:t>
      </w:r>
      <w:r>
        <w:rPr>
          <w:rFonts w:ascii="Effra Corp" w:hAnsi="Effra Corp"/>
          <w:lang w:val="sr-Latn-RS"/>
        </w:rPr>
        <w:t xml:space="preserve">da je </w:t>
      </w:r>
      <w:r w:rsidRPr="00F91903">
        <w:rPr>
          <w:rFonts w:ascii="Effra Corp" w:hAnsi="Effra Corp"/>
          <w:lang w:val="sr-Latn-RS"/>
        </w:rPr>
        <w:t xml:space="preserve">100% naše primarne ambalaže </w:t>
      </w:r>
      <w:r>
        <w:rPr>
          <w:rFonts w:ascii="Effra Corp" w:hAnsi="Effra Corp"/>
          <w:lang w:val="sr-Latn-RS"/>
        </w:rPr>
        <w:t xml:space="preserve">reciklabilno </w:t>
      </w:r>
      <w:r w:rsidRPr="00F91903">
        <w:rPr>
          <w:rFonts w:ascii="Effra Corp" w:hAnsi="Effra Corp"/>
          <w:lang w:val="sr-Latn-RS"/>
        </w:rPr>
        <w:t xml:space="preserve">do 2025. godine </w:t>
      </w:r>
    </w:p>
    <w:p w14:paraId="77A2D679" w14:textId="77777777" w:rsidR="00B723BA" w:rsidRDefault="00B723BA" w:rsidP="00B723BA">
      <w:pPr>
        <w:numPr>
          <w:ilvl w:val="0"/>
          <w:numId w:val="3"/>
        </w:numPr>
        <w:ind w:left="360"/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Upotreba do 50% recikliranih materijala u našim bocama i </w:t>
      </w:r>
      <w:r>
        <w:rPr>
          <w:rFonts w:ascii="Effra Corp" w:hAnsi="Effra Corp"/>
          <w:lang w:val="sr-Latn-RS"/>
        </w:rPr>
        <w:t>limenkama</w:t>
      </w:r>
      <w:r w:rsidRPr="00F91903">
        <w:rPr>
          <w:rFonts w:ascii="Effra Corp" w:hAnsi="Effra Corp"/>
          <w:lang w:val="sr-Latn-RS"/>
        </w:rPr>
        <w:t xml:space="preserve"> do 2030. Kod PET boca, koristićemo 35% recikliranog PET (rPET) do 2025. godine. U državama EU, naš cilj je da postignemo 50% rPET do 2025. godine.</w:t>
      </w:r>
    </w:p>
    <w:p w14:paraId="3D0AC855" w14:textId="77777777" w:rsidR="00B723BA" w:rsidRPr="001D6814" w:rsidRDefault="00B723BA" w:rsidP="00B723BA">
      <w:pPr>
        <w:ind w:left="720"/>
        <w:contextualSpacing/>
        <w:jc w:val="both"/>
        <w:rPr>
          <w:rFonts w:ascii="Effra Corp" w:hAnsi="Effra Corp"/>
          <w:lang w:val="sr-Latn-RS"/>
        </w:rPr>
      </w:pPr>
    </w:p>
    <w:p w14:paraId="61B43FC4" w14:textId="77777777" w:rsidR="00B723BA" w:rsidRPr="00F91903" w:rsidRDefault="00B723BA" w:rsidP="00B723BA">
      <w:pPr>
        <w:jc w:val="both"/>
        <w:rPr>
          <w:rFonts w:ascii="Effra Corp" w:hAnsi="Effra Corp"/>
          <w:b/>
          <w:u w:val="single"/>
          <w:lang w:val="sr-Latn-RS"/>
        </w:rPr>
      </w:pPr>
      <w:r w:rsidRPr="00F91903">
        <w:rPr>
          <w:rFonts w:ascii="Effra Corp" w:hAnsi="Effra Corp"/>
          <w:b/>
          <w:u w:val="single"/>
          <w:lang w:val="sr-Latn-RS"/>
        </w:rPr>
        <w:t>Da bi postigla ove ciljeve, kompanija Coca-Cola HBC:</w:t>
      </w:r>
    </w:p>
    <w:p w14:paraId="5AFF28B4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09C96DD1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Sarađuje sa državnim </w:t>
      </w:r>
      <w:r>
        <w:rPr>
          <w:rFonts w:ascii="Effra Corp" w:hAnsi="Effra Corp"/>
          <w:lang w:val="sr-Latn-RS"/>
        </w:rPr>
        <w:t>institucijama</w:t>
      </w:r>
      <w:r w:rsidRPr="00F91903">
        <w:rPr>
          <w:rFonts w:ascii="Effra Corp" w:hAnsi="Effra Corp"/>
          <w:lang w:val="sr-Latn-RS"/>
        </w:rPr>
        <w:t xml:space="preserve"> i privredom na stvaranju pravnog okvira u kojem se ekonomski napredak, </w:t>
      </w:r>
      <w:r>
        <w:rPr>
          <w:rFonts w:ascii="Effra Corp" w:hAnsi="Effra Corp"/>
          <w:lang w:val="sr-Latn-RS"/>
        </w:rPr>
        <w:t>izbegavanje odlaganja</w:t>
      </w:r>
      <w:r w:rsidRPr="00F91903">
        <w:rPr>
          <w:rFonts w:ascii="Effra Corp" w:hAnsi="Effra Corp"/>
          <w:lang w:val="sr-Latn-RS"/>
        </w:rPr>
        <w:t xml:space="preserve"> materijala </w:t>
      </w:r>
      <w:r>
        <w:rPr>
          <w:rFonts w:ascii="Effra Corp" w:hAnsi="Effra Corp"/>
          <w:lang w:val="sr-Latn-RS"/>
        </w:rPr>
        <w:t>na</w:t>
      </w:r>
      <w:r w:rsidRPr="00F91903">
        <w:rPr>
          <w:rFonts w:ascii="Effra Corp" w:hAnsi="Effra Corp"/>
          <w:lang w:val="sr-Latn-RS"/>
        </w:rPr>
        <w:t xml:space="preserve"> deponij</w:t>
      </w:r>
      <w:r>
        <w:rPr>
          <w:rFonts w:ascii="Effra Corp" w:hAnsi="Effra Corp"/>
          <w:lang w:val="sr-Latn-RS"/>
        </w:rPr>
        <w:t>e</w:t>
      </w:r>
      <w:r w:rsidRPr="00F91903">
        <w:rPr>
          <w:rFonts w:ascii="Effra Corp" w:hAnsi="Effra Corp"/>
          <w:lang w:val="sr-Latn-RS"/>
        </w:rPr>
        <w:t xml:space="preserve"> i smanjenje emisija mogu postići istovremeno, </w:t>
      </w:r>
    </w:p>
    <w:p w14:paraId="0F869809" w14:textId="77777777" w:rsidR="00B723BA" w:rsidRPr="00F91903" w:rsidRDefault="00B723BA" w:rsidP="00B723BA">
      <w:pPr>
        <w:ind w:left="770"/>
        <w:contextualSpacing/>
        <w:jc w:val="both"/>
        <w:rPr>
          <w:rFonts w:ascii="Effra Corp" w:hAnsi="Effra Corp"/>
          <w:lang w:val="sr-Latn-RS"/>
        </w:rPr>
      </w:pPr>
    </w:p>
    <w:p w14:paraId="39835215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Podržava i </w:t>
      </w:r>
      <w:r>
        <w:rPr>
          <w:rFonts w:ascii="Effra Corp" w:hAnsi="Effra Corp"/>
          <w:lang w:val="sr-Latn-RS"/>
        </w:rPr>
        <w:t>sprovodi</w:t>
      </w:r>
      <w:r w:rsidRPr="00F91903">
        <w:rPr>
          <w:rFonts w:ascii="Effra Corp" w:hAnsi="Effra Corp"/>
          <w:lang w:val="sr-Latn-RS"/>
        </w:rPr>
        <w:t xml:space="preserve"> studije modela sakupljanja ambalaže radi identifikacije najefektivnijih i najefikasnijih rešenja za sakupljanje ambalaže za svako tržište, </w:t>
      </w:r>
    </w:p>
    <w:p w14:paraId="7DF0CE09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1A1D2A61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Proaktivno se angažuje kroz relevantna poslovna udruženja radi zastupanja unapređenog nacionalnog sistema za sakupljanje ambalaže u cilju postizanja </w:t>
      </w:r>
      <w:r>
        <w:rPr>
          <w:rFonts w:ascii="Effra Corp" w:hAnsi="Effra Corp"/>
          <w:lang w:val="sr-Latn-RS"/>
        </w:rPr>
        <w:t xml:space="preserve">zakonskih </w:t>
      </w:r>
      <w:r w:rsidRPr="00F91903">
        <w:rPr>
          <w:rFonts w:ascii="Effra Corp" w:hAnsi="Effra Corp"/>
          <w:lang w:val="sr-Latn-RS"/>
        </w:rPr>
        <w:t xml:space="preserve">ciljeva, </w:t>
      </w:r>
    </w:p>
    <w:p w14:paraId="6BEF8F7F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6060E72F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Podržava postavku i implementaciju novih šema za sakupljanje ambalaže u državama u kojima takvi sistemi ne postoje, </w:t>
      </w:r>
    </w:p>
    <w:p w14:paraId="0091CD38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747A9A55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Učestvuje kao aktivni član Upravnog odbora organizacija za </w:t>
      </w:r>
      <w:r>
        <w:rPr>
          <w:rFonts w:ascii="Effra Corp" w:hAnsi="Effra Corp"/>
          <w:lang w:val="sr-Latn-RS"/>
        </w:rPr>
        <w:t>ponovno iskorišćenje ambalaže</w:t>
      </w:r>
      <w:r w:rsidRPr="00F91903">
        <w:rPr>
          <w:rFonts w:ascii="Effra Corp" w:hAnsi="Effra Corp"/>
          <w:lang w:val="sr-Latn-RS"/>
        </w:rPr>
        <w:t xml:space="preserve"> sa odgovarajućim zastupništvom na nivou višeg rukovodstva,</w:t>
      </w:r>
    </w:p>
    <w:p w14:paraId="1E7FA98A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 </w:t>
      </w:r>
    </w:p>
    <w:p w14:paraId="2297DF7D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Postavlja dugoročne i godišnje kompanijske ciljeve za sakupljanje ambalaže, </w:t>
      </w:r>
    </w:p>
    <w:p w14:paraId="37657569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4A55FD0F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Podržava kampanje podizanja svesti o reciklaži, edukacije o sakupljanju otpada i kampanje protiv nekontrolisanog bacanja smeća, </w:t>
      </w:r>
    </w:p>
    <w:p w14:paraId="5FD9FFF7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493D8690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Promoviše razvoj i ekspanziju organizovanog sakupljanja </w:t>
      </w:r>
      <w:r>
        <w:rPr>
          <w:rFonts w:ascii="Effra Corp" w:hAnsi="Effra Corp"/>
          <w:lang w:val="sr-Latn-RS"/>
        </w:rPr>
        <w:t>korišćene</w:t>
      </w:r>
      <w:r w:rsidRPr="00F91903">
        <w:rPr>
          <w:rFonts w:ascii="Effra Corp" w:hAnsi="Effra Corp"/>
          <w:lang w:val="sr-Latn-RS"/>
        </w:rPr>
        <w:t xml:space="preserve"> ambalaže na javnim događajima </w:t>
      </w:r>
      <w:r w:rsidRPr="00F658C7">
        <w:rPr>
          <w:rFonts w:ascii="Effra Corp" w:hAnsi="Effra Corp"/>
          <w:lang w:val="sr-Latn-RS"/>
        </w:rPr>
        <w:t>kako bismo sprečili bacanje smeća</w:t>
      </w:r>
      <w:r>
        <w:rPr>
          <w:rFonts w:ascii="Effra Corp" w:hAnsi="Effra Corp"/>
          <w:lang w:val="sr-Latn-RS"/>
        </w:rPr>
        <w:t>,</w:t>
      </w:r>
    </w:p>
    <w:p w14:paraId="5860285D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lastRenderedPageBreak/>
        <w:t xml:space="preserve">Podržava i zalaže se za intervencije javnih politika i tehnološka rešenja koja omogućavaju cirkularnu ekonomiju za ambalažu, </w:t>
      </w:r>
    </w:p>
    <w:p w14:paraId="7BF960C2" w14:textId="77777777" w:rsidR="00B723BA" w:rsidRPr="00F91903" w:rsidRDefault="00B723BA" w:rsidP="00B723BA">
      <w:pPr>
        <w:ind w:left="770"/>
        <w:contextualSpacing/>
        <w:jc w:val="both"/>
        <w:rPr>
          <w:rFonts w:ascii="Effra Corp" w:hAnsi="Effra Corp"/>
          <w:lang w:val="sr-Latn-RS"/>
        </w:rPr>
      </w:pPr>
    </w:p>
    <w:p w14:paraId="2901DEAD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Posvećena je investiranju u infrastrukturu i nove tehnologije koje omogućavaju pojačanu upotrebu recikliranog sadržaja u njihovim pakovanjima, gde je to tehnički i ekonomski izvodljivo, </w:t>
      </w:r>
    </w:p>
    <w:p w14:paraId="47C8516A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6AE81CAF" w14:textId="77777777" w:rsidR="00B723BA" w:rsidRPr="00F91903" w:rsidRDefault="00B723BA" w:rsidP="00B723BA">
      <w:pPr>
        <w:numPr>
          <w:ilvl w:val="0"/>
          <w:numId w:val="4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Planira i izvršava strategije upravljanja ambalažnim otpadom u sklopu procesa godišnjeg planiranja poslovanja da bi se obezbedilo da ova tema ostane integralni deo poslovanja. </w:t>
      </w:r>
    </w:p>
    <w:p w14:paraId="65A142DC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768ED14D" w14:textId="77777777" w:rsidR="00B723BA" w:rsidRPr="00F91903" w:rsidRDefault="00B723BA" w:rsidP="00B723BA">
      <w:pPr>
        <w:jc w:val="both"/>
        <w:rPr>
          <w:rFonts w:ascii="Effra Corp" w:hAnsi="Effra Corp"/>
          <w:b/>
          <w:u w:val="single"/>
          <w:lang w:val="sr-Latn-RS"/>
        </w:rPr>
      </w:pPr>
      <w:r w:rsidRPr="00F91903">
        <w:rPr>
          <w:rFonts w:ascii="Effra Corp" w:hAnsi="Effra Corp"/>
          <w:b/>
          <w:u w:val="single"/>
          <w:lang w:val="sr-Latn-RS"/>
        </w:rPr>
        <w:t>Coca-Cola HBC će:</w:t>
      </w:r>
    </w:p>
    <w:p w14:paraId="60007FF1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0E391BE4" w14:textId="77777777" w:rsidR="00B723BA" w:rsidRPr="000C0B65" w:rsidRDefault="00B723BA" w:rsidP="00B723BA">
      <w:pPr>
        <w:numPr>
          <w:ilvl w:val="0"/>
          <w:numId w:val="5"/>
        </w:numPr>
        <w:contextualSpacing/>
        <w:jc w:val="both"/>
        <w:rPr>
          <w:rFonts w:ascii="Effra Corp" w:hAnsi="Effra Corp"/>
          <w:lang w:val="sr-Latn-RS"/>
        </w:rPr>
      </w:pPr>
      <w:r w:rsidRPr="000C0B65">
        <w:rPr>
          <w:rFonts w:ascii="Effra Corp" w:hAnsi="Effra Corp"/>
          <w:lang w:val="sr-Latn-RS"/>
        </w:rPr>
        <w:t xml:space="preserve">Podržavati razvoj efektivnih politika upravljanja otpadom i sakupljanja ambalaže putem strukturiranog dijaloga sa zainteresovanim stranama i partnerskih odnosa. </w:t>
      </w:r>
    </w:p>
    <w:p w14:paraId="3FEFBD6A" w14:textId="77777777" w:rsidR="00B723BA" w:rsidRPr="00F91903" w:rsidRDefault="00B723BA" w:rsidP="00B723BA">
      <w:pPr>
        <w:ind w:left="720"/>
        <w:contextualSpacing/>
        <w:jc w:val="both"/>
        <w:rPr>
          <w:rFonts w:ascii="Effra Corp" w:hAnsi="Effra Corp"/>
          <w:lang w:val="sr-Latn-RS"/>
        </w:rPr>
      </w:pPr>
    </w:p>
    <w:p w14:paraId="6B425F33" w14:textId="77777777" w:rsidR="00B723BA" w:rsidRPr="00F91903" w:rsidRDefault="00B723BA" w:rsidP="00B723BA">
      <w:pPr>
        <w:numPr>
          <w:ilvl w:val="0"/>
          <w:numId w:val="5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Raditi kroz </w:t>
      </w:r>
      <w:r>
        <w:rPr>
          <w:rFonts w:ascii="Effra Corp" w:hAnsi="Effra Corp"/>
          <w:lang w:val="sr-Latn-RS"/>
        </w:rPr>
        <w:t xml:space="preserve">međusektorska </w:t>
      </w:r>
      <w:r w:rsidRPr="00F91903">
        <w:rPr>
          <w:rFonts w:ascii="Effra Corp" w:hAnsi="Effra Corp"/>
          <w:lang w:val="sr-Latn-RS"/>
        </w:rPr>
        <w:t xml:space="preserve">udruženja za </w:t>
      </w:r>
      <w:r>
        <w:rPr>
          <w:rFonts w:ascii="Effra Corp" w:hAnsi="Effra Corp"/>
          <w:lang w:val="sr-Latn-RS"/>
        </w:rPr>
        <w:t>upravljanje</w:t>
      </w:r>
      <w:r w:rsidRPr="00F91903">
        <w:rPr>
          <w:rFonts w:ascii="Effra Corp" w:hAnsi="Effra Corp"/>
          <w:lang w:val="sr-Latn-RS"/>
        </w:rPr>
        <w:t xml:space="preserve"> ambalaž</w:t>
      </w:r>
      <w:r>
        <w:rPr>
          <w:rFonts w:ascii="Effra Corp" w:hAnsi="Effra Corp"/>
          <w:lang w:val="sr-Latn-RS"/>
        </w:rPr>
        <w:t>om</w:t>
      </w:r>
      <w:r w:rsidRPr="00F91903">
        <w:rPr>
          <w:rFonts w:ascii="Effra Corp" w:hAnsi="Effra Corp"/>
          <w:lang w:val="sr-Latn-RS"/>
        </w:rPr>
        <w:t xml:space="preserve"> na razvoju i podršci efektivnih rešenja za upravljanje otpadom i sakupljanje </w:t>
      </w:r>
      <w:r>
        <w:rPr>
          <w:rFonts w:ascii="Effra Corp" w:hAnsi="Effra Corp"/>
          <w:lang w:val="sr-Latn-RS"/>
        </w:rPr>
        <w:t>ambalaže</w:t>
      </w:r>
      <w:r w:rsidRPr="00F91903">
        <w:rPr>
          <w:rFonts w:ascii="Effra Corp" w:hAnsi="Effra Corp"/>
          <w:lang w:val="sr-Latn-RS"/>
        </w:rPr>
        <w:t xml:space="preserve">, </w:t>
      </w:r>
    </w:p>
    <w:p w14:paraId="6C4B239B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19A1E9B9" w14:textId="77777777" w:rsidR="00B723BA" w:rsidRPr="00F91903" w:rsidRDefault="00B723BA" w:rsidP="00B723BA">
      <w:pPr>
        <w:numPr>
          <w:ilvl w:val="0"/>
          <w:numId w:val="5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Unaprediti efikasnost i efektivnost postojećih organizacija za upravljanje ambalažnim otpadom nakon upotrebe, </w:t>
      </w:r>
    </w:p>
    <w:p w14:paraId="73900DC9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786DBEF8" w14:textId="77777777" w:rsidR="00B723BA" w:rsidRPr="00F91903" w:rsidRDefault="00B723BA" w:rsidP="00B723BA">
      <w:pPr>
        <w:numPr>
          <w:ilvl w:val="0"/>
          <w:numId w:val="5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Vršiti inovacije radi minimalizacije količine ambalaže koju koristimo, obezbeđujući da je ambalaža koju koristimo održiva koliko god je to moguće, </w:t>
      </w:r>
    </w:p>
    <w:p w14:paraId="2544201D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4190C14A" w14:textId="77777777" w:rsidR="00B723BA" w:rsidRPr="00F91903" w:rsidRDefault="00B723BA" w:rsidP="00B723BA">
      <w:pPr>
        <w:numPr>
          <w:ilvl w:val="0"/>
          <w:numId w:val="5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Nastaviti da uvećava sadržaj recikliranog materijala u našoj primarnoj ambalaži za pića, sa naglaskom na PET boce, </w:t>
      </w:r>
    </w:p>
    <w:p w14:paraId="69541C08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5AC44B2D" w14:textId="77777777" w:rsidR="00B723BA" w:rsidRPr="00F91903" w:rsidRDefault="00B723BA" w:rsidP="00B723BA">
      <w:pPr>
        <w:numPr>
          <w:ilvl w:val="0"/>
          <w:numId w:val="5"/>
        </w:numPr>
        <w:contextualSpacing/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Obezbediti održive opcije za ambalažu koje ispunjavaju potrebe naših korisnika. </w:t>
      </w:r>
    </w:p>
    <w:p w14:paraId="3784E93F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00F4DEF2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  <w:r w:rsidRPr="00F91903">
        <w:rPr>
          <w:rFonts w:ascii="Effra Corp" w:hAnsi="Effra Corp"/>
          <w:lang w:val="sr-Latn-RS"/>
        </w:rPr>
        <w:t xml:space="preserve">Ovaj pristup ambalažnom otpadu se dopunjuje našim politikama koje se odnose na vodu i bio-diverzitet i ulaganjem u društvo kao i komunikacionim kampanjama koje primenjuju naši partneri, The Coca-Cola Company. </w:t>
      </w:r>
    </w:p>
    <w:p w14:paraId="4D19A136" w14:textId="77777777" w:rsidR="00B723BA" w:rsidRPr="00F91903" w:rsidRDefault="00B723BA" w:rsidP="00B723BA">
      <w:pPr>
        <w:jc w:val="both"/>
        <w:rPr>
          <w:rFonts w:ascii="Effra Corp" w:hAnsi="Effra Corp"/>
          <w:lang w:val="sr-Latn-RS"/>
        </w:rPr>
      </w:pPr>
    </w:p>
    <w:p w14:paraId="6B4A7067" w14:textId="77777777" w:rsidR="00B723BA" w:rsidRPr="008A7C2E" w:rsidRDefault="00B723BA" w:rsidP="00B723BA">
      <w:pPr>
        <w:autoSpaceDE w:val="0"/>
        <w:autoSpaceDN w:val="0"/>
        <w:adjustRightInd w:val="0"/>
        <w:spacing w:before="200"/>
        <w:jc w:val="both"/>
        <w:rPr>
          <w:rFonts w:ascii="Effra Corp" w:hAnsi="Effra Corp"/>
          <w:lang w:val="sr-Latn-RS"/>
        </w:rPr>
      </w:pPr>
      <w:r w:rsidRPr="008A7C2E">
        <w:rPr>
          <w:rFonts w:ascii="Effra Corp" w:hAnsi="Effra Corp"/>
          <w:lang w:val="sr-Latn-RS"/>
        </w:rPr>
        <w:t xml:space="preserve">Kao generalni direktor kompanije, obavezujem se da ću poštovati sadržaj Politike </w:t>
      </w:r>
      <w:r>
        <w:rPr>
          <w:rFonts w:ascii="Effra Corp" w:hAnsi="Effra Corp"/>
          <w:lang w:val="sr-Latn-RS"/>
        </w:rPr>
        <w:t>upravljanja ambalažnim otpadom</w:t>
      </w:r>
      <w:r w:rsidRPr="008A7C2E">
        <w:rPr>
          <w:rFonts w:ascii="Effra Corp" w:hAnsi="Effra Corp"/>
          <w:lang w:val="sr-Latn-RS"/>
        </w:rPr>
        <w:t xml:space="preserve">, koja je u vlasništvu i koju podržava Odbor za društvenu odgovornost Upravnog odbora. Odgovornost za uspešnu implementaciju ove politike </w:t>
      </w:r>
      <w:r>
        <w:rPr>
          <w:rFonts w:ascii="Effra Corp" w:hAnsi="Effra Corp"/>
          <w:lang w:val="sr-Latn-RS"/>
        </w:rPr>
        <w:t>i</w:t>
      </w:r>
      <w:r w:rsidRPr="008A7C2E">
        <w:rPr>
          <w:rFonts w:ascii="Effra Corp" w:hAnsi="Effra Corp"/>
          <w:lang w:val="sr-Latn-RS"/>
        </w:rPr>
        <w:t xml:space="preserve"> povezanih programa pripada svakom zaposlenom u Coca-Cola Hellenic na svakom nivou i funkciji u organizaciji.</w:t>
      </w:r>
    </w:p>
    <w:p w14:paraId="5F766087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79C37547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B6203DE" w14:textId="605B1FB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Beograd, </w:t>
      </w:r>
      <w:r w:rsidR="00F619FE">
        <w:rPr>
          <w:rFonts w:ascii="Effra Corp" w:hAnsi="Effra Corp"/>
          <w:sz w:val="20"/>
          <w:szCs w:val="20"/>
          <w:lang w:val="sr-Latn-RS"/>
        </w:rPr>
        <w:t>f</w:t>
      </w:r>
      <w:r w:rsidRPr="0064346C">
        <w:rPr>
          <w:rFonts w:ascii="Effra Corp" w:hAnsi="Effra Corp"/>
          <w:sz w:val="20"/>
          <w:szCs w:val="20"/>
          <w:lang w:val="sr-Latn-RS"/>
        </w:rPr>
        <w:t>ebruar 2024</w:t>
      </w:r>
      <w:r w:rsidR="00F619FE">
        <w:rPr>
          <w:rFonts w:ascii="Effra Corp" w:hAnsi="Effra Corp"/>
          <w:sz w:val="20"/>
          <w:szCs w:val="20"/>
          <w:lang w:val="sr-Latn-RS"/>
        </w:rPr>
        <w:t>.</w:t>
      </w:r>
    </w:p>
    <w:p w14:paraId="5A3B39E8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2D296674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Svetoslav Atanasov</w:t>
      </w:r>
    </w:p>
    <w:p w14:paraId="284C3C92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Generalni direktor</w:t>
      </w:r>
    </w:p>
    <w:p w14:paraId="60DAD0AE" w14:textId="77777777" w:rsidR="009B5DE3" w:rsidRPr="0064346C" w:rsidRDefault="009B5DE3" w:rsidP="009B5DE3">
      <w:pPr>
        <w:rPr>
          <w:lang w:val="sr-Latn-RS"/>
        </w:rPr>
      </w:pPr>
    </w:p>
    <w:p w14:paraId="3CB3827A" w14:textId="77777777" w:rsidR="006C4EC3" w:rsidRPr="0064346C" w:rsidRDefault="006C4EC3" w:rsidP="0044424C">
      <w:pPr>
        <w:rPr>
          <w:lang w:val="sr-Latn-RS"/>
        </w:rPr>
      </w:pPr>
    </w:p>
    <w:sectPr w:rsidR="006C4EC3" w:rsidRPr="0064346C" w:rsidSect="00AE06E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8100" w14:textId="77777777" w:rsidR="00AE06EB" w:rsidRDefault="00AE06EB" w:rsidP="0044424C">
      <w:r>
        <w:separator/>
      </w:r>
    </w:p>
  </w:endnote>
  <w:endnote w:type="continuationSeparator" w:id="0">
    <w:p w14:paraId="372780FB" w14:textId="77777777" w:rsidR="00AE06EB" w:rsidRDefault="00AE06EB" w:rsidP="004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0926F4E8" w14:textId="77777777" w:rsidR="0044424C" w:rsidRPr="00335995" w:rsidRDefault="0044424C" w:rsidP="0044424C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77777777" w:rsidR="0044424C" w:rsidRPr="00335995" w:rsidRDefault="0044424C" w:rsidP="0044424C">
          <w:pPr>
            <w:pStyle w:val="NoSpacing"/>
            <w:spacing w:before="60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proofErr w:type="spellStart"/>
          <w:r>
            <w:rPr>
              <w:rFonts w:ascii="Effra Corp" w:hAnsi="Effra Corp"/>
              <w:sz w:val="18"/>
              <w:szCs w:val="20"/>
            </w:rPr>
            <w:t>Strana</w:t>
          </w:r>
          <w:proofErr w:type="spellEnd"/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ED6" w14:textId="77777777" w:rsidR="00AE06EB" w:rsidRDefault="00AE06EB" w:rsidP="0044424C">
      <w:r>
        <w:separator/>
      </w:r>
    </w:p>
  </w:footnote>
  <w:footnote w:type="continuationSeparator" w:id="0">
    <w:p w14:paraId="1306355A" w14:textId="77777777" w:rsidR="00AE06EB" w:rsidRDefault="00AE06EB" w:rsidP="0044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000000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19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4"/>
      <w:gridCol w:w="8077"/>
      <w:gridCol w:w="1878"/>
    </w:tblGrid>
    <w:tr w:rsidR="0044424C" w:rsidRPr="00CB7A56" w14:paraId="7451CC21" w14:textId="77777777" w:rsidTr="00B723BA">
      <w:trPr>
        <w:trHeight w:val="951"/>
      </w:trPr>
      <w:tc>
        <w:tcPr>
          <w:tcW w:w="1464" w:type="dxa"/>
          <w:vAlign w:val="center"/>
        </w:tcPr>
        <w:p w14:paraId="11E84CA9" w14:textId="77777777" w:rsidR="0044424C" w:rsidRPr="00CB7A56" w:rsidRDefault="0044424C" w:rsidP="0044424C">
          <w:pPr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71552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8077" w:type="dxa"/>
          <w:vAlign w:val="center"/>
        </w:tcPr>
        <w:p w14:paraId="62EE2482" w14:textId="77777777" w:rsidR="00B723BA" w:rsidRPr="007C7B22" w:rsidRDefault="00B723BA" w:rsidP="00B723BA">
          <w:pPr>
            <w:pStyle w:val="Heading1"/>
            <w:spacing w:before="0" w:beforeAutospacing="0" w:after="0" w:afterAutospacing="0"/>
            <w:rPr>
              <w:rFonts w:ascii="Helvetica" w:hAnsi="Helvetica"/>
              <w:caps/>
              <w:color w:val="61A9A4"/>
              <w:spacing w:val="12"/>
              <w:sz w:val="34"/>
              <w:szCs w:val="22"/>
            </w:rPr>
          </w:pPr>
          <w:r w:rsidRPr="007C7B22">
            <w:rPr>
              <w:rFonts w:ascii="Helvetica" w:hAnsi="Helvetica"/>
              <w:caps/>
              <w:color w:val="61A9A4"/>
              <w:spacing w:val="12"/>
              <w:sz w:val="34"/>
              <w:szCs w:val="22"/>
            </w:rPr>
            <w:t>Politika upravljanja ambalažni</w:t>
          </w:r>
          <w:r>
            <w:rPr>
              <w:rFonts w:ascii="Helvetica" w:hAnsi="Helvetica"/>
              <w:caps/>
              <w:color w:val="61A9A4"/>
              <w:spacing w:val="12"/>
              <w:sz w:val="34"/>
              <w:szCs w:val="22"/>
            </w:rPr>
            <w:t xml:space="preserve">m </w:t>
          </w:r>
          <w:r w:rsidRPr="007C7B22">
            <w:rPr>
              <w:rFonts w:ascii="Helvetica" w:hAnsi="Helvetica"/>
              <w:caps/>
              <w:color w:val="61A9A4"/>
              <w:spacing w:val="12"/>
              <w:sz w:val="34"/>
              <w:szCs w:val="22"/>
            </w:rPr>
            <w:t xml:space="preserve">otpadom </w:t>
          </w:r>
        </w:p>
        <w:p w14:paraId="17D1B275" w14:textId="12946B89" w:rsidR="0044424C" w:rsidRPr="00C6303E" w:rsidRDefault="0044424C" w:rsidP="0044424C">
          <w:pPr>
            <w:jc w:val="center"/>
            <w:rPr>
              <w:rFonts w:ascii="Effra Corp" w:hAnsi="Effra Corp"/>
              <w:b/>
              <w:sz w:val="32"/>
              <w:szCs w:val="32"/>
            </w:rPr>
          </w:pPr>
        </w:p>
      </w:tc>
      <w:tc>
        <w:tcPr>
          <w:tcW w:w="1878" w:type="dxa"/>
          <w:vAlign w:val="center"/>
        </w:tcPr>
        <w:p w14:paraId="2ECFDA1E" w14:textId="64FB82D7" w:rsidR="00C55374" w:rsidRDefault="00C55374" w:rsidP="00C55374">
          <w:pPr>
            <w:pStyle w:val="NoSpacing"/>
            <w:rPr>
              <w:rFonts w:ascii="Effra Corp" w:hAnsi="Effra Corp"/>
            </w:rPr>
          </w:pPr>
          <w:r>
            <w:rPr>
              <w:rFonts w:ascii="Effra Corp" w:hAnsi="Effra Corp"/>
            </w:rPr>
            <w:t>SM-QA-RD-003.0</w:t>
          </w:r>
          <w:r w:rsidR="00B723BA">
            <w:rPr>
              <w:rFonts w:ascii="Effra Corp" w:hAnsi="Effra Corp"/>
            </w:rPr>
            <w:t>4</w:t>
          </w:r>
        </w:p>
        <w:p w14:paraId="47431A39" w14:textId="4D8B6A13" w:rsidR="0044424C" w:rsidRPr="00CB7A56" w:rsidRDefault="00C55374" w:rsidP="00C55374">
          <w:pPr>
            <w:pStyle w:val="NoSpacing"/>
            <w:rPr>
              <w:rFonts w:ascii="Effra Corp" w:hAnsi="Effra Corp"/>
              <w:color w:val="FF0000"/>
              <w:lang w:val="sr-Latn-RS"/>
            </w:rPr>
          </w:pPr>
          <w:r>
            <w:rPr>
              <w:rFonts w:ascii="Effra Corp" w:hAnsi="Effra Corp"/>
              <w:sz w:val="18"/>
              <w:szCs w:val="20"/>
              <w:lang w:val="sr-Latn-RS"/>
            </w:rPr>
            <w:t>Verzija: 1</w:t>
          </w:r>
        </w:p>
      </w:tc>
    </w:tr>
  </w:tbl>
  <w:p w14:paraId="162B7F84" w14:textId="29C31E50" w:rsidR="0044424C" w:rsidRDefault="00000000" w:rsidP="0044424C">
    <w:pPr>
      <w:pStyle w:val="Header"/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000000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3CA"/>
    <w:multiLevelType w:val="hybridMultilevel"/>
    <w:tmpl w:val="EFC63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D1F"/>
    <w:multiLevelType w:val="hybridMultilevel"/>
    <w:tmpl w:val="8E64384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3856E19"/>
    <w:multiLevelType w:val="hybridMultilevel"/>
    <w:tmpl w:val="14C6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DBF"/>
    <w:multiLevelType w:val="hybridMultilevel"/>
    <w:tmpl w:val="C3C2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7C3C"/>
    <w:multiLevelType w:val="hybridMultilevel"/>
    <w:tmpl w:val="9D787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5087">
    <w:abstractNumId w:val="3"/>
  </w:num>
  <w:num w:numId="2" w16cid:durableId="1583565804">
    <w:abstractNumId w:val="2"/>
  </w:num>
  <w:num w:numId="3" w16cid:durableId="1936286346">
    <w:abstractNumId w:val="4"/>
  </w:num>
  <w:num w:numId="4" w16cid:durableId="26028965">
    <w:abstractNumId w:val="1"/>
  </w:num>
  <w:num w:numId="5" w16cid:durableId="92603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0C092D"/>
    <w:rsid w:val="000F0390"/>
    <w:rsid w:val="00111FC1"/>
    <w:rsid w:val="00116720"/>
    <w:rsid w:val="00117C21"/>
    <w:rsid w:val="001610AE"/>
    <w:rsid w:val="001F3B38"/>
    <w:rsid w:val="001F4655"/>
    <w:rsid w:val="00237DE9"/>
    <w:rsid w:val="00250DBE"/>
    <w:rsid w:val="002D1BE5"/>
    <w:rsid w:val="002E65CC"/>
    <w:rsid w:val="0031563E"/>
    <w:rsid w:val="00320948"/>
    <w:rsid w:val="00331ABA"/>
    <w:rsid w:val="00376A0A"/>
    <w:rsid w:val="003A0844"/>
    <w:rsid w:val="003B1906"/>
    <w:rsid w:val="004040E3"/>
    <w:rsid w:val="00411787"/>
    <w:rsid w:val="00421809"/>
    <w:rsid w:val="0044424C"/>
    <w:rsid w:val="004B0BB3"/>
    <w:rsid w:val="00517EA7"/>
    <w:rsid w:val="005A523C"/>
    <w:rsid w:val="005C5F4E"/>
    <w:rsid w:val="0061470E"/>
    <w:rsid w:val="006264CE"/>
    <w:rsid w:val="0064346C"/>
    <w:rsid w:val="00675830"/>
    <w:rsid w:val="006C2C60"/>
    <w:rsid w:val="006C4EC3"/>
    <w:rsid w:val="006E30B4"/>
    <w:rsid w:val="00732DBD"/>
    <w:rsid w:val="007331E3"/>
    <w:rsid w:val="00773485"/>
    <w:rsid w:val="007829C4"/>
    <w:rsid w:val="008078D4"/>
    <w:rsid w:val="00820BE1"/>
    <w:rsid w:val="008B08CE"/>
    <w:rsid w:val="008C133F"/>
    <w:rsid w:val="008F6BBD"/>
    <w:rsid w:val="00901B5F"/>
    <w:rsid w:val="00916B8F"/>
    <w:rsid w:val="00942068"/>
    <w:rsid w:val="009B5DE3"/>
    <w:rsid w:val="009C42C9"/>
    <w:rsid w:val="00A04B47"/>
    <w:rsid w:val="00AA6431"/>
    <w:rsid w:val="00AB733F"/>
    <w:rsid w:val="00AE06EB"/>
    <w:rsid w:val="00B4053A"/>
    <w:rsid w:val="00B723BA"/>
    <w:rsid w:val="00B974E1"/>
    <w:rsid w:val="00BA1F70"/>
    <w:rsid w:val="00BA28CA"/>
    <w:rsid w:val="00C04A05"/>
    <w:rsid w:val="00C058F7"/>
    <w:rsid w:val="00C30199"/>
    <w:rsid w:val="00C55374"/>
    <w:rsid w:val="00C7315E"/>
    <w:rsid w:val="00CD55F2"/>
    <w:rsid w:val="00CE2FC9"/>
    <w:rsid w:val="00D279D1"/>
    <w:rsid w:val="00D45178"/>
    <w:rsid w:val="00D96AC7"/>
    <w:rsid w:val="00DE3CC9"/>
    <w:rsid w:val="00DF225C"/>
    <w:rsid w:val="00DF57FB"/>
    <w:rsid w:val="00E41D5A"/>
    <w:rsid w:val="00E56C21"/>
    <w:rsid w:val="00E60708"/>
    <w:rsid w:val="00E62500"/>
    <w:rsid w:val="00E9144E"/>
    <w:rsid w:val="00E979AF"/>
    <w:rsid w:val="00F13418"/>
    <w:rsid w:val="00F4381D"/>
    <w:rsid w:val="00F619FE"/>
    <w:rsid w:val="00F76251"/>
    <w:rsid w:val="00FA0ABA"/>
    <w:rsid w:val="00FB38A8"/>
    <w:rsid w:val="00FC607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9B5DE3"/>
    <w:pPr>
      <w:spacing w:after="0" w:line="240" w:lineRule="auto"/>
    </w:pPr>
    <w:rPr>
      <w:rFonts w:ascii="Cambria" w:hAnsi="Cambr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723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B5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3B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Danijela Boskovic</cp:lastModifiedBy>
  <cp:revision>76</cp:revision>
  <dcterms:created xsi:type="dcterms:W3CDTF">2024-02-13T11:14:00Z</dcterms:created>
  <dcterms:modified xsi:type="dcterms:W3CDTF">2024-02-25T15:00:00Z</dcterms:modified>
</cp:coreProperties>
</file>